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E" w:rsidRPr="002E54FE" w:rsidRDefault="002E54FE" w:rsidP="002E54FE">
      <w:pPr>
        <w:spacing w:after="150" w:line="240" w:lineRule="auto"/>
        <w:outlineLvl w:val="0"/>
        <w:rPr>
          <w:rFonts w:ascii="Segoe UI" w:eastAsia="Times New Roman" w:hAnsi="Segoe UI" w:cs="Segoe UI"/>
          <w:color w:val="1C874E"/>
          <w:kern w:val="36"/>
          <w:sz w:val="60"/>
          <w:szCs w:val="60"/>
          <w:lang w:eastAsia="cs-CZ"/>
        </w:rPr>
      </w:pPr>
      <w:r w:rsidRPr="002E54FE">
        <w:rPr>
          <w:rFonts w:ascii="Segoe UI" w:eastAsia="Times New Roman" w:hAnsi="Segoe UI" w:cs="Segoe UI"/>
          <w:color w:val="1C874E"/>
          <w:kern w:val="36"/>
          <w:sz w:val="60"/>
          <w:szCs w:val="60"/>
          <w:lang w:eastAsia="cs-CZ"/>
        </w:rPr>
        <w:t>Připojení nemovitosti k místní komunikaci - Povolení sjezdu</w:t>
      </w: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Základní informace</w:t>
      </w:r>
    </w:p>
    <w:p w:rsidR="002E54FE" w:rsidRPr="002E54FE" w:rsidRDefault="002E54FE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Připojení sousední nemovitosti ke komunikaci zřízením sjezdu nebo nájezdu je pojem vyplývající </w:t>
      </w:r>
      <w:proofErr w:type="gramStart"/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ze</w:t>
      </w:r>
      <w:proofErr w:type="gramEnd"/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  <w:hyperlink r:id="rId5" w:history="1">
        <w:r w:rsidRPr="002E54FE">
          <w:rPr>
            <w:rFonts w:ascii="Segoe UI" w:eastAsia="Times New Roman" w:hAnsi="Segoe UI" w:cs="Segoe UI"/>
            <w:color w:val="0066CC"/>
            <w:sz w:val="23"/>
            <w:szCs w:val="23"/>
            <w:u w:val="single"/>
            <w:lang w:eastAsia="cs-CZ"/>
          </w:rPr>
          <w:t>zákona č. 13/1997 Sb., o pozemních komunikacích, ve znění pozdějších předpisů</w:t>
        </w:r>
      </w:hyperlink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. Je jím míněno „přímé napojení“ pozemků (stavebních parcel), příp. staveb (např. garáže) na komunikaci za účelem zajíždění a vyjíždění vozidel.</w:t>
      </w:r>
    </w:p>
    <w:p w:rsidR="00687D5B" w:rsidRDefault="002E54FE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Zřízení nového připojení ale též úpravu stávajícího připojení 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nebo jeho zrušení </w:t>
      </w:r>
      <w:r w:rsidRPr="00687D5B">
        <w:rPr>
          <w:rFonts w:ascii="Segoe UI" w:eastAsia="Times New Roman" w:hAnsi="Segoe UI" w:cs="Segoe UI"/>
          <w:b/>
          <w:bCs/>
          <w:color w:val="333333"/>
          <w:sz w:val="23"/>
          <w:szCs w:val="23"/>
          <w:u w:val="single"/>
          <w:lang w:eastAsia="cs-CZ"/>
        </w:rPr>
        <w:t>povoluje</w:t>
      </w:r>
      <w:r w:rsidRPr="00687D5B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 příslušný silniční správní úřad</w:t>
      </w: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.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</w:p>
    <w:p w:rsidR="002E54FE" w:rsidRDefault="003D4896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Stanovisko k</w:t>
      </w:r>
      <w:r w:rsid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 připojení vydá žadateli vlastník komunikace. Pro </w:t>
      </w:r>
      <w:r w:rsidR="002E54FE"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připojení k silnici II. nebo III. třídy (ulice </w:t>
      </w:r>
      <w:r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Ostrožská, </w:t>
      </w:r>
      <w:r w:rsidR="002E54FE"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Hlavní, Hradišťská a Boršická)</w:t>
      </w:r>
      <w:r w:rsid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je silničním správním </w:t>
      </w:r>
      <w:r w:rsidR="002E54FE"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úřadem </w:t>
      </w:r>
      <w:proofErr w:type="spellStart"/>
      <w:r w:rsidR="002E54FE"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MěÚ</w:t>
      </w:r>
      <w:proofErr w:type="spellEnd"/>
      <w:r w:rsidR="002E54FE"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 Uherské Hradiště, odbor stavební a životního prostředí, oddělení dopravního úřadu </w:t>
      </w:r>
      <w:r w:rsid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a vlastníkem silnice je Zlínský kraj zastoupený jeho organizací </w:t>
      </w:r>
      <w:r w:rsidR="002E54FE"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Ředit</w:t>
      </w:r>
      <w:r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e</w:t>
      </w:r>
      <w:r w:rsidR="002E54FE"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lství silnic Zlínského kraje</w:t>
      </w:r>
      <w:r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 (ŘSZK)</w:t>
      </w:r>
      <w:r w:rsidR="002E54FE"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.</w:t>
      </w:r>
    </w:p>
    <w:p w:rsidR="002E54FE" w:rsidRPr="002E54FE" w:rsidRDefault="002E54FE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Pro připojení k místní komunikaci je silničním správním úřadem </w:t>
      </w:r>
      <w:proofErr w:type="spellStart"/>
      <w:r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MěÚ</w:t>
      </w:r>
      <w:proofErr w:type="spellEnd"/>
      <w:r w:rsidRPr="003D4896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 xml:space="preserve"> Hluk, a vlastníkem silnice je Město Hluk</w:t>
      </w: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.</w:t>
      </w:r>
    </w:p>
    <w:p w:rsidR="002E54FE" w:rsidRPr="002E54FE" w:rsidRDefault="002E54FE" w:rsidP="002E54FE">
      <w:pPr>
        <w:spacing w:after="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Kdo je oprávněn v této věci jednat (podat žádost apod.)</w:t>
      </w:r>
    </w:p>
    <w:p w:rsidR="00012B4B" w:rsidRPr="00012B4B" w:rsidRDefault="002E54FE" w:rsidP="00012B4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Žádost o povolení připojení sousední nemovitosti ke komunikaci</w:t>
      </w:r>
      <w:r w:rsidRPr="00012B4B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</w:t>
      </w: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je oprávněn podat vlastník připojované nemovitosti nebo osoba s jinými právy k této nemovitosti (fyzická nebo právnická osoba).</w:t>
      </w:r>
      <w:r w:rsidR="00012B4B" w:rsidRPr="00012B4B">
        <w:rPr>
          <w:rFonts w:ascii="Segoe UI" w:hAnsi="Segoe UI" w:cs="Segoe UI"/>
          <w:color w:val="000000"/>
          <w:sz w:val="23"/>
          <w:szCs w:val="23"/>
        </w:rPr>
        <w:t xml:space="preserve"> V případě </w:t>
      </w:r>
      <w:r w:rsidR="00012B4B" w:rsidRPr="00012B4B">
        <w:rPr>
          <w:rFonts w:ascii="Segoe UI" w:hAnsi="Segoe UI" w:cs="Segoe UI"/>
          <w:iCs/>
          <w:color w:val="000000"/>
          <w:sz w:val="23"/>
          <w:szCs w:val="23"/>
        </w:rPr>
        <w:t xml:space="preserve">zastupování žadatele, bude předložena plná moc v písemné úpravě </w:t>
      </w:r>
      <w:r w:rsidR="00012B4B" w:rsidRPr="00012B4B">
        <w:rPr>
          <w:rFonts w:ascii="Segoe UI" w:hAnsi="Segoe UI" w:cs="Segoe UI"/>
          <w:color w:val="000000"/>
          <w:sz w:val="23"/>
          <w:szCs w:val="23"/>
        </w:rPr>
        <w:t xml:space="preserve">dle stanovení § 33 zákona č. 500/2004 Sb., správní řád, ve znění zákona č. 413/2005 Sb. Pokud je připojovaný pozemek </w:t>
      </w:r>
      <w:r w:rsidR="00012B4B" w:rsidRPr="00012B4B">
        <w:rPr>
          <w:rFonts w:ascii="Segoe UI" w:hAnsi="Segoe UI" w:cs="Segoe UI"/>
          <w:iCs/>
          <w:color w:val="000000"/>
          <w:sz w:val="23"/>
          <w:szCs w:val="23"/>
        </w:rPr>
        <w:t>v podílovém vlastnictví více osob nebo SJM</w:t>
      </w:r>
      <w:r w:rsidR="00012B4B" w:rsidRPr="00012B4B">
        <w:rPr>
          <w:rFonts w:ascii="Segoe UI" w:hAnsi="Segoe UI" w:cs="Segoe UI"/>
          <w:color w:val="000000"/>
          <w:sz w:val="23"/>
          <w:szCs w:val="23"/>
        </w:rPr>
        <w:t xml:space="preserve">, žádost mohou </w:t>
      </w:r>
      <w:r w:rsidR="00012B4B" w:rsidRPr="00012B4B">
        <w:rPr>
          <w:rFonts w:ascii="Segoe UI" w:hAnsi="Segoe UI" w:cs="Segoe UI"/>
          <w:iCs/>
          <w:color w:val="000000"/>
          <w:sz w:val="23"/>
          <w:szCs w:val="23"/>
        </w:rPr>
        <w:t>podat společně nebo jeden z nich a připojí písemný souhlas ostatních spoluvlastníků</w:t>
      </w:r>
      <w:r w:rsidR="00012B4B" w:rsidRPr="00012B4B">
        <w:rPr>
          <w:rFonts w:ascii="Segoe UI" w:hAnsi="Segoe UI" w:cs="Segoe UI"/>
          <w:color w:val="000000"/>
          <w:sz w:val="23"/>
          <w:szCs w:val="23"/>
        </w:rPr>
        <w:t>.</w:t>
      </w:r>
    </w:p>
    <w:p w:rsidR="002E54FE" w:rsidRPr="002E54FE" w:rsidRDefault="002E54FE" w:rsidP="002E54FE">
      <w:pPr>
        <w:spacing w:after="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Jaké doklady a podklady musíte mít s sebou</w:t>
      </w:r>
    </w:p>
    <w:p w:rsidR="003D4896" w:rsidRPr="003D4896" w:rsidRDefault="003D4896" w:rsidP="00012B4B">
      <w:pPr>
        <w:pStyle w:val="Bezmezer"/>
        <w:numPr>
          <w:ilvl w:val="0"/>
          <w:numId w:val="8"/>
        </w:numPr>
        <w:rPr>
          <w:rFonts w:ascii="Segoe UI" w:hAnsi="Segoe UI" w:cs="Segoe UI"/>
          <w:sz w:val="23"/>
          <w:szCs w:val="23"/>
        </w:rPr>
      </w:pPr>
      <w:r w:rsidRPr="003D4896">
        <w:rPr>
          <w:rFonts w:ascii="Segoe UI" w:hAnsi="Segoe UI" w:cs="Segoe UI"/>
          <w:b/>
          <w:bCs/>
          <w:i/>
          <w:iCs/>
          <w:sz w:val="23"/>
          <w:szCs w:val="23"/>
        </w:rPr>
        <w:t>zjednodušená projektová dokumentace sjezdu</w:t>
      </w:r>
      <w:r w:rsidRPr="003D4896">
        <w:rPr>
          <w:rFonts w:ascii="Segoe UI" w:hAnsi="Segoe UI" w:cs="Segoe UI"/>
          <w:sz w:val="23"/>
          <w:szCs w:val="23"/>
        </w:rPr>
        <w:t xml:space="preserve"> – situování, vzdálenost od sousední hranice pozemku, šířkové uspořádání, odtokové poměry komunikace a povrchu sjezdu, sklonové poměry, situace rozhledových poměrů, řez sjezdem, zakreslení stávajícího dopravního značení, stromoví a jiných překážek v místě navrženého sjezdu nebo rozhledových poměrů </w:t>
      </w:r>
      <w:r w:rsidRPr="003D4896">
        <w:rPr>
          <w:rFonts w:ascii="Segoe UI" w:hAnsi="Segoe UI" w:cs="Segoe UI"/>
          <w:sz w:val="23"/>
          <w:szCs w:val="23"/>
        </w:rPr>
        <w:lastRenderedPageBreak/>
        <w:t xml:space="preserve">nutných k odstranění nebo přeložení apod., doložka zpracovatele, že navržený sjezd vyhovuje stanoveným technickým podmínkám </w:t>
      </w:r>
    </w:p>
    <w:p w:rsidR="003D4896" w:rsidRPr="003D4896" w:rsidRDefault="003D4896" w:rsidP="003D4896">
      <w:pPr>
        <w:pStyle w:val="Bezmezer"/>
        <w:ind w:left="720"/>
        <w:rPr>
          <w:rFonts w:ascii="Segoe UI" w:hAnsi="Segoe UI" w:cs="Segoe UI"/>
          <w:sz w:val="23"/>
          <w:szCs w:val="23"/>
        </w:rPr>
      </w:pPr>
    </w:p>
    <w:p w:rsidR="003D4896" w:rsidRPr="003D4896" w:rsidRDefault="003D4896" w:rsidP="003D4896">
      <w:pPr>
        <w:pStyle w:val="Bezmezer"/>
        <w:ind w:left="720"/>
        <w:rPr>
          <w:rFonts w:ascii="Segoe UI" w:hAnsi="Segoe UI" w:cs="Segoe UI"/>
          <w:sz w:val="23"/>
          <w:szCs w:val="23"/>
        </w:rPr>
      </w:pPr>
      <w:r w:rsidRPr="003D4896">
        <w:rPr>
          <w:rFonts w:ascii="Segoe UI" w:hAnsi="Segoe UI" w:cs="Segoe UI"/>
          <w:sz w:val="23"/>
          <w:szCs w:val="23"/>
        </w:rPr>
        <w:t>(</w:t>
      </w:r>
      <w:r w:rsidRPr="003D4896">
        <w:rPr>
          <w:rFonts w:ascii="Segoe UI" w:hAnsi="Segoe UI" w:cs="Segoe UI"/>
          <w:i/>
          <w:iCs/>
          <w:sz w:val="23"/>
          <w:szCs w:val="23"/>
        </w:rPr>
        <w:t xml:space="preserve">informace pro projektanta* – technické podmínky pro připojování sousedních nemovitostí na komunikace jsou stanoveny v § 12 vyhlášky č. 104/1997 Sb., kterou se provádí zákon o pozemních komunikacích, ve znění pozdějších předpisů, v případě řešení sjezdu přes chodník je nutno zpracovat úpravu chodníku v místě sjezdu podle vyhlášky č. 398/2009 Sb., </w:t>
      </w:r>
      <w:r w:rsidRPr="003D4896">
        <w:rPr>
          <w:rFonts w:ascii="Segoe UI" w:hAnsi="Segoe UI" w:cs="Segoe UI"/>
          <w:i/>
          <w:iCs/>
          <w:color w:val="43494D"/>
          <w:sz w:val="23"/>
          <w:szCs w:val="23"/>
          <w:shd w:val="clear" w:color="auto" w:fill="FFFFFF"/>
        </w:rPr>
        <w:t>o obecných technických požadavcích zabezpečujících bezbariérové užívání staveb</w:t>
      </w:r>
      <w:r w:rsidRPr="003D4896">
        <w:rPr>
          <w:rFonts w:ascii="Segoe UI" w:hAnsi="Segoe UI" w:cs="Segoe UI"/>
          <w:i/>
          <w:iCs/>
          <w:sz w:val="23"/>
          <w:szCs w:val="23"/>
        </w:rPr>
        <w:t>, přílohy č. 1</w:t>
      </w:r>
      <w:r w:rsidRPr="003D4896">
        <w:rPr>
          <w:rFonts w:ascii="Segoe UI" w:hAnsi="Segoe UI" w:cs="Segoe UI"/>
          <w:sz w:val="23"/>
          <w:szCs w:val="23"/>
        </w:rPr>
        <w:t xml:space="preserve"> a č. 2) </w:t>
      </w:r>
    </w:p>
    <w:p w:rsidR="003D4896" w:rsidRPr="003D4896" w:rsidRDefault="003D4896" w:rsidP="003D4896">
      <w:pPr>
        <w:pStyle w:val="Bezmezer"/>
        <w:rPr>
          <w:rFonts w:ascii="Segoe UI" w:hAnsi="Segoe UI" w:cs="Segoe UI"/>
          <w:sz w:val="23"/>
          <w:szCs w:val="23"/>
        </w:rPr>
      </w:pPr>
    </w:p>
    <w:p w:rsidR="003D4896" w:rsidRPr="003D4896" w:rsidRDefault="003D4896" w:rsidP="003D4896">
      <w:pPr>
        <w:pStyle w:val="Bezmezer"/>
        <w:rPr>
          <w:rFonts w:ascii="Segoe UI" w:hAnsi="Segoe UI" w:cs="Segoe UI"/>
          <w:sz w:val="23"/>
          <w:szCs w:val="23"/>
        </w:rPr>
      </w:pPr>
      <w:r w:rsidRPr="003D4896">
        <w:rPr>
          <w:rFonts w:ascii="Segoe UI" w:hAnsi="Segoe UI" w:cs="Segoe UI"/>
          <w:sz w:val="23"/>
          <w:szCs w:val="23"/>
        </w:rPr>
        <w:t>*</w:t>
      </w:r>
      <w:r w:rsidRPr="003D4896">
        <w:rPr>
          <w:rFonts w:ascii="Segoe UI" w:hAnsi="Segoe UI" w:cs="Segoe UI"/>
          <w:i/>
          <w:iCs/>
          <w:sz w:val="23"/>
          <w:szCs w:val="23"/>
        </w:rPr>
        <w:t>projektant musí být autorizovaná osoba ve smyslu zákona č. 360/1992 Sb. v platném znění</w:t>
      </w:r>
      <w:r w:rsidRPr="003D4896">
        <w:rPr>
          <w:rFonts w:ascii="Segoe UI" w:hAnsi="Segoe UI" w:cs="Segoe UI"/>
          <w:sz w:val="23"/>
          <w:szCs w:val="23"/>
        </w:rPr>
        <w:t>.</w:t>
      </w:r>
    </w:p>
    <w:p w:rsidR="002E54FE" w:rsidRPr="002E54FE" w:rsidRDefault="002E54FE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:rsidR="003D4896" w:rsidRPr="003D4896" w:rsidRDefault="002E54FE" w:rsidP="00012B4B">
      <w:pPr>
        <w:pStyle w:val="Bezmezer"/>
        <w:jc w:val="both"/>
        <w:rPr>
          <w:rFonts w:ascii="Segoe UI" w:hAnsi="Segoe UI" w:cs="Segoe UI"/>
          <w:sz w:val="23"/>
          <w:szCs w:val="23"/>
        </w:rPr>
      </w:pPr>
      <w:r w:rsidRPr="002E54FE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>2.</w:t>
      </w:r>
      <w:r w:rsidRPr="002E54FE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 </w:t>
      </w:r>
      <w:r w:rsidRPr="002E54FE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 xml:space="preserve">kopie </w:t>
      </w:r>
      <w:r w:rsidR="00012B4B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>stanoviska</w:t>
      </w:r>
      <w:r w:rsidRPr="002E54FE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 xml:space="preserve"> vlastníka místní komunikace</w:t>
      </w:r>
      <w:r w:rsidR="003D4896" w:rsidRPr="003D4896">
        <w:rPr>
          <w:rFonts w:ascii="Segoe UI" w:hAnsi="Segoe UI" w:cs="Segoe UI"/>
          <w:b/>
          <w:bCs/>
          <w:sz w:val="23"/>
          <w:szCs w:val="23"/>
        </w:rPr>
        <w:t xml:space="preserve"> </w:t>
      </w:r>
      <w:r w:rsidR="003D4896" w:rsidRPr="00012B4B">
        <w:rPr>
          <w:rFonts w:ascii="Segoe UI" w:hAnsi="Segoe UI" w:cs="Segoe UI"/>
          <w:b/>
          <w:bCs/>
          <w:i/>
          <w:iCs/>
          <w:sz w:val="23"/>
          <w:szCs w:val="23"/>
        </w:rPr>
        <w:t>k předmětné žádosti</w:t>
      </w:r>
      <w:r w:rsidR="003D4896" w:rsidRPr="003D4896">
        <w:rPr>
          <w:rFonts w:ascii="Segoe UI" w:hAnsi="Segoe UI" w:cs="Segoe UI"/>
          <w:sz w:val="23"/>
          <w:szCs w:val="23"/>
        </w:rPr>
        <w:t xml:space="preserve"> (Město Hluk, odbor investic a místního hospodářství, Ing. Pavel Botek, tel.: 702 178 964, e-mail: pavel.botek@mestohluk.cz)</w:t>
      </w:r>
    </w:p>
    <w:p w:rsidR="002E54FE" w:rsidRPr="002E54FE" w:rsidRDefault="002E54FE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</w:p>
    <w:p w:rsidR="00012B4B" w:rsidRDefault="002E54FE" w:rsidP="00012B4B">
      <w:pPr>
        <w:spacing w:after="75" w:line="338" w:lineRule="atLeast"/>
        <w:rPr>
          <w:rFonts w:ascii="Segoe UI" w:hAnsi="Segoe UI" w:cs="Segoe UI"/>
          <w:sz w:val="23"/>
          <w:szCs w:val="23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  <w:r w:rsidRPr="002E54FE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>3.</w:t>
      </w:r>
      <w:r w:rsidR="00012B4B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 xml:space="preserve"> </w:t>
      </w:r>
      <w:r w:rsidRPr="002E54FE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 xml:space="preserve">kopie </w:t>
      </w:r>
      <w:r w:rsidR="00012B4B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>stanoviska</w:t>
      </w:r>
      <w:r w:rsidRPr="002E54FE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 xml:space="preserve"> Policie ČR</w:t>
      </w: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, </w:t>
      </w:r>
      <w:r w:rsidR="00012B4B" w:rsidRPr="00012B4B">
        <w:rPr>
          <w:rFonts w:ascii="Segoe UI" w:hAnsi="Segoe UI" w:cs="Segoe UI"/>
          <w:sz w:val="23"/>
          <w:szCs w:val="23"/>
        </w:rPr>
        <w:t>(KŘP Zlínského kraje, DI Uherské Hradiště</w:t>
      </w:r>
      <w:r w:rsidR="00012B4B" w:rsidRPr="00012B4B">
        <w:rPr>
          <w:rFonts w:ascii="Segoe UI" w:hAnsi="Segoe UI" w:cs="Segoe UI"/>
          <w:b/>
          <w:bCs/>
          <w:color w:val="4F4F4F"/>
          <w:sz w:val="23"/>
          <w:szCs w:val="23"/>
        </w:rPr>
        <w:t xml:space="preserve"> </w:t>
      </w:r>
      <w:r w:rsidR="00012B4B" w:rsidRPr="00012B4B">
        <w:rPr>
          <w:rFonts w:ascii="Segoe UI" w:eastAsia="Times New Roman" w:hAnsi="Segoe UI" w:cs="Segoe UI"/>
          <w:b/>
          <w:bCs/>
          <w:color w:val="4F4F4F"/>
          <w:sz w:val="23"/>
          <w:szCs w:val="23"/>
          <w:lang w:eastAsia="cs-CZ"/>
        </w:rPr>
        <w:t xml:space="preserve">- </w:t>
      </w:r>
      <w:r w:rsidR="00012B4B" w:rsidRPr="00012B4B">
        <w:rPr>
          <w:rFonts w:ascii="Segoe UI" w:eastAsia="Times New Roman" w:hAnsi="Segoe UI" w:cs="Segoe UI"/>
          <w:color w:val="4F4F4F"/>
          <w:sz w:val="23"/>
          <w:szCs w:val="23"/>
          <w:lang w:eastAsia="cs-CZ"/>
        </w:rPr>
        <w:t xml:space="preserve">úsek dopravního inženýrství, </w:t>
      </w:r>
      <w:r w:rsidR="00012B4B" w:rsidRPr="00012B4B">
        <w:rPr>
          <w:rFonts w:ascii="Segoe UI" w:hAnsi="Segoe UI" w:cs="Segoe UI"/>
          <w:b/>
          <w:bCs/>
          <w:sz w:val="23"/>
          <w:szCs w:val="23"/>
        </w:rPr>
        <w:t xml:space="preserve">dopravní inženýr: por. Ing. Milan </w:t>
      </w:r>
      <w:proofErr w:type="spellStart"/>
      <w:r w:rsidR="00012B4B" w:rsidRPr="00012B4B">
        <w:rPr>
          <w:rFonts w:ascii="Segoe UI" w:hAnsi="Segoe UI" w:cs="Segoe UI"/>
          <w:b/>
          <w:bCs/>
          <w:sz w:val="23"/>
          <w:szCs w:val="23"/>
        </w:rPr>
        <w:t>Bania</w:t>
      </w:r>
      <w:proofErr w:type="spellEnd"/>
      <w:r w:rsidR="00012B4B" w:rsidRPr="00012B4B">
        <w:rPr>
          <w:rFonts w:ascii="Segoe UI" w:hAnsi="Segoe UI" w:cs="Segoe UI"/>
          <w:sz w:val="23"/>
          <w:szCs w:val="23"/>
        </w:rPr>
        <w:t xml:space="preserve"> Velehradská třída 1217, 686 01 Uherské Hradiště, tel.: 974 678 258, e-mail: </w:t>
      </w:r>
      <w:proofErr w:type="gramStart"/>
      <w:r w:rsidR="00012B4B" w:rsidRPr="00012B4B">
        <w:rPr>
          <w:rFonts w:ascii="Segoe UI" w:hAnsi="Segoe UI" w:cs="Segoe UI"/>
          <w:sz w:val="23"/>
          <w:szCs w:val="23"/>
        </w:rPr>
        <w:t>uh.di</w:t>
      </w:r>
      <w:proofErr w:type="gramEnd"/>
      <w:r w:rsidR="00012B4B" w:rsidRPr="00012B4B">
        <w:rPr>
          <w:rFonts w:ascii="Segoe UI" w:hAnsi="Segoe UI" w:cs="Segoe UI"/>
          <w:sz w:val="23"/>
          <w:szCs w:val="23"/>
        </w:rPr>
        <w:t xml:space="preserve">.podatelna@pcr.cz, </w:t>
      </w:r>
    </w:p>
    <w:p w:rsidR="00012B4B" w:rsidRPr="00012B4B" w:rsidRDefault="00012B4B" w:rsidP="00012B4B">
      <w:pPr>
        <w:pStyle w:val="Odstavecseseznamem"/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</w:p>
    <w:p w:rsidR="00012B4B" w:rsidRDefault="002E54FE" w:rsidP="00012B4B">
      <w:pPr>
        <w:shd w:val="clear" w:color="auto" w:fill="FFFFFF"/>
        <w:jc w:val="both"/>
        <w:rPr>
          <w:rFonts w:ascii="Segoe UI" w:hAnsi="Segoe UI" w:cs="Segoe UI"/>
          <w:sz w:val="23"/>
          <w:szCs w:val="23"/>
        </w:rPr>
      </w:pPr>
      <w:r w:rsidRPr="00012B4B">
        <w:rPr>
          <w:rFonts w:ascii="Segoe UI" w:eastAsia="Times New Roman" w:hAnsi="Segoe UI" w:cs="Segoe UI"/>
          <w:i/>
          <w:iCs/>
          <w:color w:val="333333"/>
          <w:sz w:val="23"/>
          <w:szCs w:val="23"/>
          <w:lang w:eastAsia="cs-CZ"/>
        </w:rPr>
        <w:t> </w:t>
      </w:r>
      <w:r w:rsidRPr="00012B4B">
        <w:rPr>
          <w:rFonts w:ascii="Segoe UI" w:eastAsia="Times New Roman" w:hAnsi="Segoe UI" w:cs="Segoe UI"/>
          <w:b/>
          <w:bCs/>
          <w:i/>
          <w:iCs/>
          <w:color w:val="333333"/>
          <w:sz w:val="23"/>
          <w:szCs w:val="23"/>
          <w:lang w:eastAsia="cs-CZ"/>
        </w:rPr>
        <w:t>4.</w:t>
      </w:r>
      <w:r w:rsidRPr="00012B4B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 </w:t>
      </w:r>
      <w:r w:rsidR="00012B4B" w:rsidRPr="00012B4B">
        <w:rPr>
          <w:rFonts w:ascii="Segoe UI" w:hAnsi="Segoe UI" w:cs="Segoe UI"/>
          <w:b/>
          <w:bCs/>
          <w:sz w:val="23"/>
          <w:szCs w:val="23"/>
        </w:rPr>
        <w:t xml:space="preserve">kopie pokladního dokladu o úhradě správního poplatku </w:t>
      </w:r>
      <w:r w:rsidR="00012B4B" w:rsidRPr="00012B4B">
        <w:rPr>
          <w:rFonts w:ascii="Segoe UI" w:hAnsi="Segoe UI" w:cs="Segoe UI"/>
          <w:sz w:val="23"/>
          <w:szCs w:val="23"/>
        </w:rPr>
        <w:t xml:space="preserve">(pokladna </w:t>
      </w:r>
      <w:proofErr w:type="spellStart"/>
      <w:r w:rsidR="00012B4B" w:rsidRPr="00012B4B">
        <w:rPr>
          <w:rFonts w:ascii="Segoe UI" w:hAnsi="Segoe UI" w:cs="Segoe UI"/>
          <w:sz w:val="23"/>
          <w:szCs w:val="23"/>
        </w:rPr>
        <w:t>MěÚ</w:t>
      </w:r>
      <w:proofErr w:type="spellEnd"/>
      <w:r w:rsidR="00012B4B" w:rsidRPr="00012B4B">
        <w:rPr>
          <w:rFonts w:ascii="Segoe UI" w:hAnsi="Segoe UI" w:cs="Segoe UI"/>
          <w:sz w:val="23"/>
          <w:szCs w:val="23"/>
        </w:rPr>
        <w:t>, Hřbitovní 140, 687 25 Hluk)</w:t>
      </w:r>
    </w:p>
    <w:p w:rsidR="00012B4B" w:rsidRPr="00012B4B" w:rsidRDefault="00012B4B" w:rsidP="00012B4B">
      <w:pPr>
        <w:shd w:val="clear" w:color="auto" w:fill="FFFFFF"/>
        <w:jc w:val="both"/>
        <w:rPr>
          <w:rFonts w:ascii="Segoe UI" w:hAnsi="Segoe UI" w:cs="Segoe UI"/>
          <w:b/>
          <w:bCs/>
          <w:sz w:val="23"/>
          <w:szCs w:val="23"/>
        </w:rPr>
      </w:pP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Jaké jsou potřebné formuláře a kde jsou k dispozici</w:t>
      </w:r>
    </w:p>
    <w:p w:rsidR="002E54FE" w:rsidRDefault="002E54FE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Formulář žádosti o povolení připojení</w:t>
      </w:r>
      <w:r w:rsidR="00CD43AF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nemovitosti ke komunikaci jsou </w:t>
      </w: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k vyzvednutí či k přímému vyplnění na </w:t>
      </w:r>
      <w:proofErr w:type="spellStart"/>
      <w:r w:rsidR="00012B4B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MěÚ</w:t>
      </w:r>
      <w:proofErr w:type="spellEnd"/>
      <w:r w:rsidR="00012B4B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Hluk, odbor investic a MH</w:t>
      </w:r>
      <w:r w:rsidR="00CD43AF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 nebo na webu města </w:t>
      </w:r>
      <w:hyperlink r:id="rId6" w:history="1">
        <w:r w:rsidR="00CD43AF" w:rsidRPr="00677EB3">
          <w:rPr>
            <w:rStyle w:val="Hypertextovodkaz"/>
            <w:rFonts w:ascii="Segoe UI" w:eastAsia="Times New Roman" w:hAnsi="Segoe UI" w:cs="Segoe UI"/>
            <w:sz w:val="23"/>
            <w:szCs w:val="23"/>
            <w:lang w:eastAsia="cs-CZ"/>
          </w:rPr>
          <w:t>https://www.mestohluk.cz/urad-2/odbor-investic-a-mistniho-hospodarstvi</w:t>
        </w:r>
      </w:hyperlink>
      <w:r w:rsidR="00CD43AF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.</w:t>
      </w:r>
    </w:p>
    <w:p w:rsidR="002E54FE" w:rsidRPr="002E54FE" w:rsidRDefault="002E54FE" w:rsidP="002E54FE">
      <w:pPr>
        <w:spacing w:after="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Jaké jsou poplatky a jak je lze uhradit</w:t>
      </w:r>
    </w:p>
    <w:p w:rsidR="002E54FE" w:rsidRPr="002E54FE" w:rsidRDefault="002E54FE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Správní poplatek</w:t>
      </w: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 za vydání povolení k připojení sousední nemovitosti ke komunikaci </w:t>
      </w:r>
      <w:r w:rsidRPr="002E54FE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činí 500,- Kč</w:t>
      </w: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.</w:t>
      </w:r>
    </w:p>
    <w:p w:rsidR="002E54FE" w:rsidRPr="002E54FE" w:rsidRDefault="002E54FE" w:rsidP="002E54FE">
      <w:pPr>
        <w:spacing w:after="75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Úhrada poplatku je požadována ještě před vydáním povolení a je nutno ji prokázat předložením potvrzení o zaplacení.</w:t>
      </w:r>
    </w:p>
    <w:p w:rsidR="002E54FE" w:rsidRPr="002E54FE" w:rsidRDefault="002E54FE" w:rsidP="002E54FE">
      <w:pPr>
        <w:spacing w:after="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lastRenderedPageBreak/>
        <w:t>Jaké jsou lhůty pro vyřízení</w:t>
      </w:r>
    </w:p>
    <w:p w:rsidR="002E54FE" w:rsidRPr="002E54FE" w:rsidRDefault="002E54FE" w:rsidP="002E54FE">
      <w:pPr>
        <w:spacing w:after="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333333"/>
          <w:sz w:val="23"/>
          <w:szCs w:val="23"/>
          <w:lang w:eastAsia="cs-CZ"/>
        </w:rPr>
        <w:t>Bezodkladně, nejpozději do 30 dnů, u složitých případů max. 60 dnů. Předpokladem je doložení všech potřebných dokladů.</w:t>
      </w:r>
    </w:p>
    <w:p w:rsidR="002E54FE" w:rsidRPr="002E54FE" w:rsidRDefault="002E54FE" w:rsidP="002E54FE">
      <w:pPr>
        <w:spacing w:after="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p w:rsidR="002E54FE" w:rsidRPr="002E54FE" w:rsidRDefault="002E54FE" w:rsidP="002E54FE">
      <w:pPr>
        <w:spacing w:before="225" w:after="150" w:line="240" w:lineRule="auto"/>
        <w:outlineLvl w:val="1"/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</w:pPr>
      <w:r w:rsidRPr="002E54FE">
        <w:rPr>
          <w:rFonts w:ascii="Segoe UI" w:eastAsia="Times New Roman" w:hAnsi="Segoe UI" w:cs="Segoe UI"/>
          <w:b/>
          <w:bCs/>
          <w:color w:val="1C874E"/>
          <w:sz w:val="39"/>
          <w:szCs w:val="39"/>
          <w:lang w:eastAsia="cs-CZ"/>
        </w:rPr>
        <w:t>Další (dotčení) účastníci řízení</w:t>
      </w:r>
    </w:p>
    <w:p w:rsidR="002E54FE" w:rsidRPr="002E54FE" w:rsidRDefault="002E54FE" w:rsidP="002E54FE">
      <w:pPr>
        <w:numPr>
          <w:ilvl w:val="0"/>
          <w:numId w:val="1"/>
        </w:numPr>
        <w:spacing w:before="100" w:beforeAutospacing="1" w:after="75" w:line="383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Policie České republiky,</w:t>
      </w:r>
    </w:p>
    <w:p w:rsidR="002E54FE" w:rsidRPr="002E54FE" w:rsidRDefault="002E54FE" w:rsidP="002E54FE">
      <w:pPr>
        <w:numPr>
          <w:ilvl w:val="0"/>
          <w:numId w:val="1"/>
        </w:numPr>
        <w:spacing w:before="100" w:beforeAutospacing="1" w:after="75" w:line="383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vlastník (příp. správce) dotčené pozemní komunikace.</w:t>
      </w:r>
    </w:p>
    <w:p w:rsidR="002E54FE" w:rsidRPr="002E54FE" w:rsidRDefault="002E54FE" w:rsidP="002E54FE">
      <w:pPr>
        <w:spacing w:after="100" w:line="338" w:lineRule="atLeast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E54FE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 </w:t>
      </w:r>
    </w:p>
    <w:tbl>
      <w:tblPr>
        <w:tblW w:w="975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0"/>
        <w:gridCol w:w="3060"/>
        <w:gridCol w:w="3060"/>
        <w:gridCol w:w="3060"/>
      </w:tblGrid>
      <w:tr w:rsidR="002E54FE" w:rsidRPr="002E54FE" w:rsidTr="00687D5B">
        <w:tc>
          <w:tcPr>
            <w:tcW w:w="570" w:type="dxa"/>
            <w:vAlign w:val="center"/>
          </w:tcPr>
          <w:p w:rsidR="002E54FE" w:rsidRPr="002E54FE" w:rsidRDefault="002E54FE" w:rsidP="002E54FE">
            <w:pPr>
              <w:spacing w:after="0" w:line="338" w:lineRule="atLeast"/>
              <w:jc w:val="center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E54FE" w:rsidRPr="002E54FE" w:rsidRDefault="002E54FE" w:rsidP="002E54FE">
            <w:pPr>
              <w:spacing w:after="0" w:line="338" w:lineRule="atLeast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E54FE" w:rsidRPr="002E54FE" w:rsidRDefault="002E54FE" w:rsidP="002E54FE">
            <w:pPr>
              <w:spacing w:after="0" w:line="338" w:lineRule="atLeast"/>
              <w:jc w:val="right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2E54FE" w:rsidRPr="002E54FE" w:rsidRDefault="002E54FE" w:rsidP="002E54FE">
            <w:pPr>
              <w:spacing w:after="0" w:line="338" w:lineRule="atLeast"/>
              <w:jc w:val="right"/>
              <w:rPr>
                <w:rFonts w:ascii="Segoe UI" w:eastAsia="Times New Roman" w:hAnsi="Segoe UI" w:cs="Segoe UI"/>
                <w:color w:val="333333"/>
                <w:sz w:val="23"/>
                <w:szCs w:val="23"/>
                <w:lang w:eastAsia="cs-CZ"/>
              </w:rPr>
            </w:pPr>
          </w:p>
        </w:tc>
      </w:tr>
    </w:tbl>
    <w:p w:rsidR="002E54FE" w:rsidRPr="002E54FE" w:rsidRDefault="002E54FE" w:rsidP="002E54FE">
      <w:pPr>
        <w:spacing w:after="0" w:line="315" w:lineRule="atLeast"/>
        <w:ind w:left="720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</w:p>
    <w:p w:rsidR="002E54FE" w:rsidRDefault="002E54FE"/>
    <w:sectPr w:rsidR="002E54FE" w:rsidSect="002C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3B0"/>
    <w:multiLevelType w:val="hybridMultilevel"/>
    <w:tmpl w:val="FBA6AEFE"/>
    <w:lvl w:ilvl="0" w:tplc="05C6B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26A0A"/>
    <w:multiLevelType w:val="multilevel"/>
    <w:tmpl w:val="AB30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D4BEA"/>
    <w:multiLevelType w:val="hybridMultilevel"/>
    <w:tmpl w:val="FBDE2BFE"/>
    <w:lvl w:ilvl="0" w:tplc="17EAD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AF4"/>
    <w:multiLevelType w:val="hybridMultilevel"/>
    <w:tmpl w:val="FBA6AEFE"/>
    <w:lvl w:ilvl="0" w:tplc="05C6B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472CF"/>
    <w:multiLevelType w:val="multilevel"/>
    <w:tmpl w:val="87B0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A535B"/>
    <w:multiLevelType w:val="multilevel"/>
    <w:tmpl w:val="32C6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162BC"/>
    <w:multiLevelType w:val="hybridMultilevel"/>
    <w:tmpl w:val="47EECC96"/>
    <w:lvl w:ilvl="0" w:tplc="ADA06E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816A1"/>
    <w:multiLevelType w:val="hybridMultilevel"/>
    <w:tmpl w:val="97B8EF8C"/>
    <w:lvl w:ilvl="0" w:tplc="05C6BD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4FE"/>
    <w:rsid w:val="00012B4B"/>
    <w:rsid w:val="002C77B6"/>
    <w:rsid w:val="002E54FE"/>
    <w:rsid w:val="003D4896"/>
    <w:rsid w:val="00683263"/>
    <w:rsid w:val="00687D5B"/>
    <w:rsid w:val="009A199E"/>
    <w:rsid w:val="00B16867"/>
    <w:rsid w:val="00CD43AF"/>
    <w:rsid w:val="00EF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77B6"/>
  </w:style>
  <w:style w:type="paragraph" w:styleId="Nadpis1">
    <w:name w:val="heading 1"/>
    <w:basedOn w:val="Normln"/>
    <w:link w:val="Nadpis1Char"/>
    <w:uiPriority w:val="9"/>
    <w:qFormat/>
    <w:rsid w:val="002E5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5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54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54F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54F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rticle2">
    <w:name w:val="article2"/>
    <w:basedOn w:val="Normln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2E54FE"/>
  </w:style>
  <w:style w:type="character" w:styleId="Hypertextovodkaz">
    <w:name w:val="Hyperlink"/>
    <w:basedOn w:val="Standardnpsmoodstavce"/>
    <w:uiPriority w:val="99"/>
    <w:unhideWhenUsed/>
    <w:rsid w:val="002E54F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54FE"/>
    <w:rPr>
      <w:b/>
      <w:bCs/>
    </w:rPr>
  </w:style>
  <w:style w:type="character" w:styleId="Zvraznn">
    <w:name w:val="Emphasis"/>
    <w:basedOn w:val="Standardnpsmoodstavce"/>
    <w:uiPriority w:val="20"/>
    <w:qFormat/>
    <w:rsid w:val="002E54FE"/>
    <w:rPr>
      <w:i/>
      <w:iCs/>
    </w:rPr>
  </w:style>
  <w:style w:type="paragraph" w:customStyle="1" w:styleId="small">
    <w:name w:val="small"/>
    <w:basedOn w:val="Normln"/>
    <w:rsid w:val="002E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D489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12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4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38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88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64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0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5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4739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0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5934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00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38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9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stohluk.cz/urad-2/odbor-investic-a-mistniho-hospodarstvi" TargetMode="External"/><Relationship Id="rId5" Type="http://schemas.openxmlformats.org/officeDocument/2006/relationships/hyperlink" Target="http://portal.gov.cz/wps/portal/_s.155/701?number1=13/1997&amp;number2=&amp;name=&amp;tex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Botek</dc:creator>
  <cp:keywords/>
  <dc:description/>
  <cp:lastModifiedBy>HP</cp:lastModifiedBy>
  <cp:revision>8</cp:revision>
  <dcterms:created xsi:type="dcterms:W3CDTF">2021-06-16T14:56:00Z</dcterms:created>
  <dcterms:modified xsi:type="dcterms:W3CDTF">2021-09-16T10:36:00Z</dcterms:modified>
</cp:coreProperties>
</file>